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44" w:rsidRDefault="009E65C3">
      <w:pPr>
        <w:pStyle w:val="Kop1"/>
        <w:rPr>
          <w:rFonts w:ascii="Guardian Egyptian Web;Lucida Br" w:hAnsi="Guardian Egyptian Web;Lucida Br"/>
          <w:sz w:val="22"/>
          <w:szCs w:val="22"/>
        </w:rPr>
      </w:pPr>
      <w:bookmarkStart w:id="0" w:name="_GoBack"/>
      <w:bookmarkEnd w:id="0"/>
      <w:r>
        <w:rPr>
          <w:rFonts w:ascii="Guardian Egyptian Web;Lucida Br" w:hAnsi="Guardian Egyptian Web;Lucida Br"/>
          <w:sz w:val="22"/>
          <w:szCs w:val="22"/>
        </w:rPr>
        <w:t>Apotheker, niet arts, maakt grootste fouten</w:t>
      </w:r>
    </w:p>
    <w:p w:rsidR="00BC5A44" w:rsidRDefault="009E65C3">
      <w:pPr>
        <w:pStyle w:val="Tekstblok"/>
        <w:widowControl/>
        <w:spacing w:after="0" w:line="465" w:lineRule="atLeast"/>
        <w:ind w:left="2520"/>
        <w:rPr>
          <w:rFonts w:ascii="Guardian Egyptian Web;Lucida Br" w:hAnsi="Guardian Egyptian Web;Lucida Br" w:hint="eastAsia"/>
          <w:sz w:val="36"/>
        </w:rPr>
      </w:pPr>
      <w:r>
        <w:rPr>
          <w:rFonts w:ascii="Guardian Egyptian Web;Lucida Br" w:hAnsi="Guardian Egyptian Web;Lucida Br"/>
          <w:sz w:val="36"/>
        </w:rPr>
        <w:t xml:space="preserve">In het rapport van de Inspectie Gezondheidszorg over de toepassing van geneesmiddelen krijgen medicatie voorschrijvende artsen heel wat kritiek te verduren. Zo staat er dat ,,meer zicht nodig is op het </w:t>
      </w:r>
      <w:r>
        <w:rPr>
          <w:rFonts w:ascii="Guardian Egyptian Web;Lucida Br" w:hAnsi="Guardian Egyptian Web;Lucida Br"/>
          <w:sz w:val="36"/>
        </w:rPr>
        <w:t>voorschrijfgedrag van artsen''. Maar in feite is het andersom: er moet meer zicht komen op de vraag of het voorgeschreven medicijn wel daadwerkelijk wordt afgeleverd door de apotheker.</w:t>
      </w:r>
    </w:p>
    <w:p w:rsidR="00BC5A44" w:rsidRDefault="009E65C3">
      <w:pPr>
        <w:pStyle w:val="Tekstblok"/>
        <w:widowControl/>
        <w:spacing w:after="90" w:line="285" w:lineRule="atLeast"/>
        <w:ind w:left="2520" w:right="45"/>
        <w:rPr>
          <w:rFonts w:hint="eastAsia"/>
        </w:rPr>
      </w:pPr>
      <w:r>
        <w:t> </w:t>
      </w:r>
    </w:p>
    <w:p w:rsidR="00BC5A44" w:rsidRDefault="009E65C3">
      <w:pPr>
        <w:pStyle w:val="Tekstblok"/>
        <w:widowControl/>
        <w:numPr>
          <w:ilvl w:val="0"/>
          <w:numId w:val="2"/>
        </w:numPr>
        <w:tabs>
          <w:tab w:val="left" w:pos="0"/>
        </w:tabs>
        <w:spacing w:after="0" w:line="285" w:lineRule="atLeast"/>
        <w:ind w:left="2820"/>
        <w:rPr>
          <w:rFonts w:ascii="inherit" w:hAnsi="inherit" w:hint="eastAsia"/>
          <w:b/>
          <w:sz w:val="23"/>
        </w:rPr>
      </w:pPr>
      <w:r>
        <w:rPr>
          <w:rFonts w:ascii="inherit" w:hAnsi="inherit"/>
          <w:b/>
          <w:sz w:val="23"/>
        </w:rPr>
        <w:t>Evert Lamfers</w:t>
      </w:r>
    </w:p>
    <w:p w:rsidR="00BC5A44" w:rsidRDefault="009E65C3">
      <w:pPr>
        <w:pStyle w:val="Tekstblok"/>
        <w:widowControl/>
        <w:numPr>
          <w:ilvl w:val="0"/>
          <w:numId w:val="2"/>
        </w:numPr>
        <w:tabs>
          <w:tab w:val="left" w:pos="0"/>
        </w:tabs>
        <w:spacing w:after="0" w:line="285" w:lineRule="atLeast"/>
        <w:ind w:left="2820" w:right="120"/>
        <w:rPr>
          <w:rFonts w:ascii="inherit" w:hAnsi="inherit" w:hint="eastAsia"/>
          <w:b/>
          <w:sz w:val="23"/>
        </w:rPr>
      </w:pPr>
      <w:r>
        <w:rPr>
          <w:rFonts w:ascii="inherit" w:hAnsi="inherit"/>
          <w:b/>
          <w:sz w:val="23"/>
        </w:rPr>
        <w:t>Ton Hooghoudt</w:t>
      </w:r>
    </w:p>
    <w:p w:rsidR="00BC5A44" w:rsidRDefault="009E65C3">
      <w:pPr>
        <w:pStyle w:val="Tekstblok"/>
        <w:widowControl/>
        <w:spacing w:after="90" w:line="285" w:lineRule="atLeast"/>
        <w:ind w:left="2520" w:right="45"/>
        <w:rPr>
          <w:rFonts w:hint="eastAsia"/>
        </w:rPr>
      </w:pPr>
      <w:r>
        <w:t> </w:t>
      </w:r>
      <w:r>
        <w:rPr>
          <w:rFonts w:ascii="inherit" w:hAnsi="inherit"/>
          <w:b/>
          <w:sz w:val="23"/>
        </w:rPr>
        <w:t>26 januari 2005</w:t>
      </w:r>
    </w:p>
    <w:p w:rsidR="00BC5A44" w:rsidRDefault="009E65C3">
      <w:pPr>
        <w:pStyle w:val="Tekstblok"/>
        <w:widowControl/>
        <w:spacing w:after="270" w:line="375" w:lineRule="atLeast"/>
        <w:ind w:left="2520"/>
        <w:rPr>
          <w:rFonts w:ascii="inherit" w:hAnsi="inherit" w:hint="eastAsia"/>
        </w:rPr>
      </w:pPr>
      <w:r>
        <w:rPr>
          <w:rFonts w:ascii="inherit" w:hAnsi="inherit"/>
        </w:rPr>
        <w:t>Wij moeten meer dan 10 p</w:t>
      </w:r>
      <w:r>
        <w:rPr>
          <w:rFonts w:ascii="inherit" w:hAnsi="inherit"/>
        </w:rPr>
        <w:t>rocent van onze polikliniektijd besteden aan het controleren hiervan. Keer op keer blijkt de patiënt, tot zijn grote verwarring en ergernis, niet het medicijn te krijgen dat op het recept staat. Met toestemming van de overheid kiest de apotheker namelijk d</w:t>
      </w:r>
      <w:r>
        <w:rPr>
          <w:rFonts w:ascii="inherit" w:hAnsi="inherit"/>
        </w:rPr>
        <w:t>e goedkoopste vorm, het maakt niet uit onder welke naam.</w:t>
      </w:r>
      <w:r>
        <w:rPr>
          <w:noProof/>
          <w:lang w:eastAsia="nl-NL" w:bidi="ar-SA"/>
        </w:rPr>
        <mc:AlternateContent>
          <mc:Choice Requires="wps">
            <w:drawing>
              <wp:anchor distT="0" distB="0" distL="0" distR="0" simplePos="0" relativeHeight="2" behindDoc="0" locked="0" layoutInCell="1" allowOverlap="1">
                <wp:simplePos x="0" y="0"/>
                <wp:positionH relativeFrom="page">
                  <wp:posOffset>114300</wp:posOffset>
                </wp:positionH>
                <wp:positionV relativeFrom="line">
                  <wp:align>top</wp:align>
                </wp:positionV>
                <wp:extent cx="400050" cy="175260"/>
                <wp:effectExtent l="0" t="0" r="0" b="0"/>
                <wp:wrapNone/>
                <wp:docPr id="1" name="Frame1"/>
                <wp:cNvGraphicFramePr/>
                <a:graphic xmlns:a="http://schemas.openxmlformats.org/drawingml/2006/main">
                  <a:graphicData uri="http://schemas.microsoft.com/office/word/2010/wordprocessingShape">
                    <wps:wsp>
                      <wps:cNvSpPr txBox="1"/>
                      <wps:spPr>
                        <a:xfrm>
                          <a:off x="0" y="0"/>
                          <a:ext cx="400050" cy="175260"/>
                        </a:xfrm>
                        <a:prstGeom prst="rect">
                          <a:avLst/>
                        </a:prstGeom>
                      </wps:spPr>
                      <wps:txbx>
                        <w:txbxContent>
                          <w:p w:rsidR="00BC5A44" w:rsidRDefault="00BC5A44">
                            <w:pPr>
                              <w:pStyle w:val="Tekstblok"/>
                              <w:rPr>
                                <w:rFonts w:hint="eastAsia"/>
                              </w:rPr>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9pt;margin-top:0;width:31.5pt;height:13.8pt;z-index:2;visibility:visible;mso-wrap-style:square;mso-wrap-distance-left:0;mso-wrap-distance-top:0;mso-wrap-distance-right:0;mso-wrap-distance-bottom:0;mso-position-horizontal:absolute;mso-position-horizontal-relative:page;mso-position-vertical:top;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" filled="f" stroked="f">
                <v:textbox inset="0,0,0,0">
                  <w:txbxContent>
                    <w:p w:rsidR="00BC5A44" w:rsidRDefault="00BC5A44">
                      <w:pPr>
                        <w:pStyle w:val="Tekstblok"/>
                        <w:rPr>
                          <w:rFonts w:hint="eastAsia"/>
                        </w:rPr>
                      </w:pPr>
                    </w:p>
                  </w:txbxContent>
                </v:textbox>
                <w10:wrap anchorx="page" anchory="line"/>
              </v:shape>
            </w:pict>
          </mc:Fallback>
        </mc:AlternateContent>
      </w:r>
    </w:p>
    <w:p w:rsidR="00BC5A44" w:rsidRDefault="009E65C3">
      <w:pPr>
        <w:pStyle w:val="Tekstblok"/>
        <w:widowControl/>
        <w:spacing w:before="270" w:after="270" w:line="375" w:lineRule="atLeast"/>
        <w:ind w:left="2520"/>
        <w:rPr>
          <w:rFonts w:ascii="inherit" w:hAnsi="inherit" w:hint="eastAsia"/>
        </w:rPr>
      </w:pPr>
      <w:r>
        <w:rPr>
          <w:rFonts w:ascii="inherit" w:hAnsi="inherit"/>
        </w:rPr>
        <w:t xml:space="preserve">Daartegen kun je je niet wapenen: als wij </w:t>
      </w:r>
      <w:proofErr w:type="spellStart"/>
      <w:r>
        <w:rPr>
          <w:rFonts w:ascii="inherit" w:hAnsi="inherit"/>
        </w:rPr>
        <w:t>Lipitor</w:t>
      </w:r>
      <w:proofErr w:type="spellEnd"/>
      <w:r>
        <w:rPr>
          <w:rFonts w:ascii="inherit" w:hAnsi="inherit"/>
        </w:rPr>
        <w:t xml:space="preserve"> voorschrijven (merknaam voor de cholesterolverlager die bekend is onder de stofnaam </w:t>
      </w:r>
      <w:proofErr w:type="spellStart"/>
      <w:r>
        <w:rPr>
          <w:rFonts w:ascii="inherit" w:hAnsi="inherit"/>
        </w:rPr>
        <w:t>atorvastatine</w:t>
      </w:r>
      <w:proofErr w:type="spellEnd"/>
      <w:r>
        <w:rPr>
          <w:rFonts w:ascii="inherit" w:hAnsi="inherit"/>
        </w:rPr>
        <w:t xml:space="preserve">) levert de apotheek </w:t>
      </w:r>
      <w:proofErr w:type="spellStart"/>
      <w:r>
        <w:rPr>
          <w:rFonts w:ascii="inherit" w:hAnsi="inherit"/>
        </w:rPr>
        <w:t>atorvastatine</w:t>
      </w:r>
      <w:proofErr w:type="spellEnd"/>
      <w:r>
        <w:rPr>
          <w:rFonts w:ascii="inherit" w:hAnsi="inherit"/>
        </w:rPr>
        <w:t>, omdat dit go</w:t>
      </w:r>
      <w:r>
        <w:rPr>
          <w:rFonts w:ascii="inherit" w:hAnsi="inherit"/>
        </w:rPr>
        <w:t xml:space="preserve">edkoper is. Goed, doe wij ook, denken we dan, dus de volgende keer schrijven we </w:t>
      </w:r>
      <w:proofErr w:type="spellStart"/>
      <w:r>
        <w:rPr>
          <w:rFonts w:ascii="inherit" w:hAnsi="inherit"/>
        </w:rPr>
        <w:t>atorvastatine</w:t>
      </w:r>
      <w:proofErr w:type="spellEnd"/>
      <w:r>
        <w:rPr>
          <w:rFonts w:ascii="inherit" w:hAnsi="inherit"/>
        </w:rPr>
        <w:t xml:space="preserve"> op het recept. Maar de apotheker levert dan ineens </w:t>
      </w:r>
      <w:proofErr w:type="spellStart"/>
      <w:r>
        <w:rPr>
          <w:rFonts w:ascii="inherit" w:hAnsi="inherit"/>
        </w:rPr>
        <w:t>Zarator</w:t>
      </w:r>
      <w:proofErr w:type="spellEnd"/>
      <w:r>
        <w:rPr>
          <w:rFonts w:ascii="inherit" w:hAnsi="inherit"/>
        </w:rPr>
        <w:t xml:space="preserve"> (merknaam voor </w:t>
      </w:r>
      <w:proofErr w:type="spellStart"/>
      <w:r>
        <w:rPr>
          <w:rFonts w:ascii="inherit" w:hAnsi="inherit"/>
        </w:rPr>
        <w:t>atorvastatine</w:t>
      </w:r>
      <w:proofErr w:type="spellEnd"/>
      <w:r>
        <w:rPr>
          <w:rFonts w:ascii="inherit" w:hAnsi="inherit"/>
        </w:rPr>
        <w:t xml:space="preserve"> in Griekenland, goedkoop voorraadje </w:t>
      </w:r>
      <w:proofErr w:type="spellStart"/>
      <w:r>
        <w:rPr>
          <w:rFonts w:ascii="inherit" w:hAnsi="inherit"/>
        </w:rPr>
        <w:t>atorvastatine</w:t>
      </w:r>
      <w:proofErr w:type="spellEnd"/>
      <w:r>
        <w:rPr>
          <w:rFonts w:ascii="inherit" w:hAnsi="inherit"/>
        </w:rPr>
        <w:t xml:space="preserve"> uit Griekenland kennelij</w:t>
      </w:r>
      <w:r>
        <w:rPr>
          <w:rFonts w:ascii="inherit" w:hAnsi="inherit"/>
        </w:rPr>
        <w:t>k).</w:t>
      </w:r>
    </w:p>
    <w:p w:rsidR="00BC5A44" w:rsidRDefault="009E65C3">
      <w:pPr>
        <w:pStyle w:val="Tekstblok"/>
        <w:widowControl/>
        <w:spacing w:before="270" w:after="270" w:line="375" w:lineRule="atLeast"/>
        <w:ind w:left="2520"/>
        <w:rPr>
          <w:rFonts w:ascii="inherit" w:hAnsi="inherit" w:hint="eastAsia"/>
        </w:rPr>
      </w:pPr>
      <w:r>
        <w:rPr>
          <w:rFonts w:ascii="inherit" w:hAnsi="inherit"/>
        </w:rPr>
        <w:t xml:space="preserve">Erger nog: </w:t>
      </w:r>
      <w:proofErr w:type="spellStart"/>
      <w:r>
        <w:rPr>
          <w:rFonts w:ascii="inherit" w:hAnsi="inherit"/>
        </w:rPr>
        <w:t>Zarator</w:t>
      </w:r>
      <w:proofErr w:type="spellEnd"/>
      <w:r>
        <w:rPr>
          <w:rFonts w:ascii="inherit" w:hAnsi="inherit"/>
        </w:rPr>
        <w:t xml:space="preserve"> staat niet in het Farmaceutisch Kompas, het handboek van indicaties, bijwerkingen en interacties van geneesmiddelen. Daardoor kan niemand opzoeken wat voor een medicament </w:t>
      </w:r>
      <w:proofErr w:type="spellStart"/>
      <w:r>
        <w:rPr>
          <w:rFonts w:ascii="inherit" w:hAnsi="inherit"/>
        </w:rPr>
        <w:t>Zarator</w:t>
      </w:r>
      <w:proofErr w:type="spellEnd"/>
      <w:r>
        <w:rPr>
          <w:rFonts w:ascii="inherit" w:hAnsi="inherit"/>
        </w:rPr>
        <w:t xml:space="preserve"> eigenlijk is, mocht de patiënt medische hulp nodig heb</w:t>
      </w:r>
      <w:r>
        <w:rPr>
          <w:rFonts w:ascii="inherit" w:hAnsi="inherit"/>
        </w:rPr>
        <w:t>ben. Dergelijke veranderingen leiden tot veel verwarring bij patiënten, veel getelefoneer met polikliniekmedewerkers, en storing tijdens het spreekuur.</w:t>
      </w:r>
    </w:p>
    <w:p w:rsidR="00BC5A44" w:rsidRDefault="00BC5A44">
      <w:pPr>
        <w:rPr>
          <w:rFonts w:hint="eastAsia"/>
        </w:rPr>
        <w:sectPr w:rsidR="00BC5A44">
          <w:pgSz w:w="11906" w:h="16838"/>
          <w:pgMar w:top="1134" w:right="1134" w:bottom="1134" w:left="1134" w:header="0" w:footer="0" w:gutter="0"/>
          <w:cols w:space="708"/>
          <w:formProt w:val="0"/>
        </w:sectPr>
      </w:pPr>
    </w:p>
    <w:p w:rsidR="00BC5A44" w:rsidRDefault="009E65C3">
      <w:pPr>
        <w:pStyle w:val="Tekstblok"/>
        <w:widowControl/>
        <w:spacing w:before="90" w:after="0" w:line="375" w:lineRule="atLeast"/>
        <w:ind w:left="2520"/>
        <w:jc w:val="center"/>
        <w:rPr>
          <w:rFonts w:hint="eastAsia"/>
        </w:rPr>
      </w:pPr>
      <w:r>
        <w:rPr>
          <w:noProof/>
          <w:lang w:eastAsia="nl-NL" w:bidi="ar-SA"/>
        </w:rPr>
        <w:lastRenderedPageBreak/>
        <w:drawing>
          <wp:inline distT="0" distB="0" distL="0" distR="0">
            <wp:extent cx="4457700" cy="2667000"/>
            <wp:effectExtent l="0" t="0" r="0" b="0"/>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a:stretch>
                      <a:fillRect/>
                    </a:stretch>
                  </pic:blipFill>
                  <pic:spPr bwMode="auto">
                    <a:xfrm>
                      <a:off x="0" y="0"/>
                      <a:ext cx="4457700" cy="2667000"/>
                    </a:xfrm>
                    <a:prstGeom prst="rect">
                      <a:avLst/>
                    </a:prstGeom>
                  </pic:spPr>
                </pic:pic>
              </a:graphicData>
            </a:graphic>
          </wp:inline>
        </w:drawing>
      </w:r>
    </w:p>
    <w:p w:rsidR="00BC5A44" w:rsidRDefault="00BC5A44">
      <w:pPr>
        <w:rPr>
          <w:rFonts w:hint="eastAsia"/>
        </w:rPr>
        <w:sectPr w:rsidR="00BC5A44">
          <w:type w:val="continuous"/>
          <w:pgSz w:w="11906" w:h="16838"/>
          <w:pgMar w:top="1134" w:right="1134" w:bottom="1134" w:left="1134" w:header="0" w:footer="0" w:gutter="0"/>
          <w:cols w:space="708"/>
          <w:formProt w:val="0"/>
        </w:sectPr>
      </w:pPr>
    </w:p>
    <w:p w:rsidR="00BC5A44" w:rsidRDefault="009E65C3">
      <w:pPr>
        <w:pStyle w:val="Tekstblok"/>
        <w:widowControl/>
        <w:spacing w:before="270" w:after="270" w:line="375" w:lineRule="atLeast"/>
        <w:ind w:left="2520"/>
        <w:rPr>
          <w:rFonts w:ascii="inherit" w:hAnsi="inherit" w:hint="eastAsia"/>
        </w:rPr>
      </w:pPr>
      <w:r>
        <w:rPr>
          <w:rFonts w:ascii="inherit" w:hAnsi="inherit"/>
        </w:rPr>
        <w:lastRenderedPageBreak/>
        <w:t xml:space="preserve">Een ander voorbeeld met ernstiger consequenties: wij </w:t>
      </w:r>
      <w:r>
        <w:rPr>
          <w:rFonts w:ascii="inherit" w:hAnsi="inherit"/>
        </w:rPr>
        <w:t xml:space="preserve">schrijven </w:t>
      </w:r>
      <w:proofErr w:type="spellStart"/>
      <w:r>
        <w:rPr>
          <w:rFonts w:ascii="inherit" w:hAnsi="inherit"/>
        </w:rPr>
        <w:t>fosinopril</w:t>
      </w:r>
      <w:proofErr w:type="spellEnd"/>
      <w:r>
        <w:rPr>
          <w:rFonts w:ascii="inherit" w:hAnsi="inherit"/>
        </w:rPr>
        <w:t xml:space="preserve"> voor (de stofnaam, niet de merknaam, om medicatiewijziging vóór te zijn), maar de apotheek levert het middel onder een voor mij onbekende merknaam </w:t>
      </w:r>
      <w:proofErr w:type="spellStart"/>
      <w:r>
        <w:rPr>
          <w:rFonts w:ascii="inherit" w:hAnsi="inherit"/>
        </w:rPr>
        <w:t>Fositen</w:t>
      </w:r>
      <w:proofErr w:type="spellEnd"/>
      <w:r>
        <w:rPr>
          <w:rFonts w:ascii="inherit" w:hAnsi="inherit"/>
        </w:rPr>
        <w:t>. De patiënt heeft niet in de gaten dat het hetzelfde medicament betreft, heeft n</w:t>
      </w:r>
      <w:r>
        <w:rPr>
          <w:rFonts w:ascii="inherit" w:hAnsi="inherit"/>
        </w:rPr>
        <w:t xml:space="preserve">og een restje </w:t>
      </w:r>
      <w:proofErr w:type="spellStart"/>
      <w:r>
        <w:rPr>
          <w:rFonts w:ascii="inherit" w:hAnsi="inherit"/>
        </w:rPr>
        <w:t>fosinopril</w:t>
      </w:r>
      <w:proofErr w:type="spellEnd"/>
      <w:r>
        <w:rPr>
          <w:rFonts w:ascii="inherit" w:hAnsi="inherit"/>
        </w:rPr>
        <w:t xml:space="preserve"> die hij eerst opmaakt, maar begint ook alvast met </w:t>
      </w:r>
      <w:proofErr w:type="spellStart"/>
      <w:r>
        <w:rPr>
          <w:rFonts w:ascii="inherit" w:hAnsi="inherit"/>
        </w:rPr>
        <w:t>Fositen</w:t>
      </w:r>
      <w:proofErr w:type="spellEnd"/>
      <w:r>
        <w:rPr>
          <w:rFonts w:ascii="inherit" w:hAnsi="inherit"/>
        </w:rPr>
        <w:t xml:space="preserve">, die netjes door de apotheker thuis is afgeleverd. Dubbele dosis </w:t>
      </w:r>
      <w:proofErr w:type="spellStart"/>
      <w:r>
        <w:rPr>
          <w:rFonts w:ascii="inherit" w:hAnsi="inherit"/>
        </w:rPr>
        <w:t>fosinopril</w:t>
      </w:r>
      <w:proofErr w:type="spellEnd"/>
      <w:r>
        <w:rPr>
          <w:rFonts w:ascii="inherit" w:hAnsi="inherit"/>
        </w:rPr>
        <w:t xml:space="preserve"> dus. Bovendien staat ook </w:t>
      </w:r>
      <w:proofErr w:type="spellStart"/>
      <w:r>
        <w:rPr>
          <w:rFonts w:ascii="inherit" w:hAnsi="inherit"/>
        </w:rPr>
        <w:t>Fositen</w:t>
      </w:r>
      <w:proofErr w:type="spellEnd"/>
      <w:r>
        <w:rPr>
          <w:rFonts w:ascii="inherit" w:hAnsi="inherit"/>
        </w:rPr>
        <w:t xml:space="preserve"> niet in het Farmaceutisch Kompas. Het is onbegrijpelijk dat deze</w:t>
      </w:r>
      <w:r>
        <w:rPr>
          <w:rFonts w:ascii="inherit" w:hAnsi="inherit"/>
        </w:rPr>
        <w:t xml:space="preserve"> vorm van fouten in de geneesmiddelverstrekking nergens in het rapport worden genoemd.</w:t>
      </w:r>
    </w:p>
    <w:p w:rsidR="00BC5A44" w:rsidRDefault="009E65C3">
      <w:pPr>
        <w:pStyle w:val="Tekstblok"/>
        <w:widowControl/>
        <w:spacing w:before="270" w:after="270" w:line="375" w:lineRule="atLeast"/>
        <w:ind w:left="2520"/>
        <w:rPr>
          <w:rFonts w:ascii="inherit" w:hAnsi="inherit" w:hint="eastAsia"/>
        </w:rPr>
      </w:pPr>
      <w:r>
        <w:rPr>
          <w:rFonts w:ascii="inherit" w:hAnsi="inherit"/>
        </w:rPr>
        <w:t xml:space="preserve">De apotheker dient dergelijke medicatiewijzigingen expliciet aan de patiënt door te geven, maar dit gebeurt onvoldoende bij patiënten die de medicijnen zelf ophalen, en </w:t>
      </w:r>
      <w:r>
        <w:rPr>
          <w:rFonts w:ascii="inherit" w:hAnsi="inherit"/>
        </w:rPr>
        <w:t>helemaal niet wanneer de medicijnen thuis worden afgeleverd. Alleen een drukwerkje in de tas stoppen, samen met de af te leveren medicijnen, is niet genoeg voor de chronisch zieke en oudere patiëntenpopulatie, waar juist de medicatievoorziening brokken dre</w:t>
      </w:r>
      <w:r>
        <w:rPr>
          <w:rFonts w:ascii="inherit" w:hAnsi="inherit"/>
        </w:rPr>
        <w:t>igt te maken.</w:t>
      </w:r>
    </w:p>
    <w:p w:rsidR="00BC5A44" w:rsidRDefault="009E65C3">
      <w:pPr>
        <w:pStyle w:val="Tekstblok"/>
        <w:widowControl/>
        <w:spacing w:before="270" w:after="270" w:line="375" w:lineRule="atLeast"/>
        <w:ind w:left="2520"/>
        <w:rPr>
          <w:rFonts w:ascii="inherit" w:hAnsi="inherit" w:hint="eastAsia"/>
        </w:rPr>
      </w:pPr>
      <w:r>
        <w:rPr>
          <w:rFonts w:ascii="inherit" w:hAnsi="inherit"/>
        </w:rPr>
        <w:t>Het verbaast ons trouwens dat in het onderhavige rapport niet wordt verwezen naar het rapport van de Inspectie Gezondheidszorg uit juli 2003, waarin de farmaceutische zorgverlening van openbare apotheken werd onderzocht. De inspectie kritisee</w:t>
      </w:r>
      <w:r>
        <w:rPr>
          <w:rFonts w:ascii="inherit" w:hAnsi="inherit"/>
        </w:rPr>
        <w:t>rt in dit rapport expliciet de medicatiebegeleiding en informatieoverdracht door apotheken. Toch staat er in het SGZ rapport 2004 over patiëntveiligheid dat de ,,medicatiebegeleiding van apothekers goed functioneert''. Is dat in een jaartje tijd dan zoveel</w:t>
      </w:r>
      <w:r>
        <w:rPr>
          <w:rFonts w:ascii="inherit" w:hAnsi="inherit"/>
        </w:rPr>
        <w:t xml:space="preserve"> verbeterd? Volgens veel patiënten niet!</w:t>
      </w:r>
    </w:p>
    <w:p w:rsidR="00BC5A44" w:rsidRDefault="009E65C3">
      <w:pPr>
        <w:pStyle w:val="Tekstblok"/>
        <w:widowControl/>
        <w:spacing w:before="270" w:after="270" w:line="375" w:lineRule="atLeast"/>
        <w:ind w:left="2520"/>
        <w:rPr>
          <w:rFonts w:ascii="inherit" w:hAnsi="inherit" w:hint="eastAsia"/>
        </w:rPr>
      </w:pPr>
      <w:r>
        <w:rPr>
          <w:rFonts w:ascii="inherit" w:hAnsi="inherit"/>
        </w:rPr>
        <w:lastRenderedPageBreak/>
        <w:t>Artsen zijn ook beoordeeld op de combinaties van medicijnen die zij voorschrijven. Zo is gekeken of patiënten digoxine voorgeschreven kregen met vier andere specifieke medicamenten. Maar daarbij is niet gekeken naar</w:t>
      </w:r>
      <w:r>
        <w:rPr>
          <w:rFonts w:ascii="inherit" w:hAnsi="inherit"/>
        </w:rPr>
        <w:t xml:space="preserve"> de dosering van digoxine, terwijl het daar juist om gaat. De combinatie van digoxine met genoemde medicijnen is niet fout, de medicamenten `bijten' elkaar niet, alleen moet de dosering van de digoxine worden aangepast.</w:t>
      </w:r>
    </w:p>
    <w:p w:rsidR="00BC5A44" w:rsidRDefault="009E65C3">
      <w:pPr>
        <w:pStyle w:val="Tekstblok"/>
        <w:widowControl/>
        <w:spacing w:before="270" w:after="270" w:line="375" w:lineRule="atLeast"/>
        <w:ind w:left="2520"/>
        <w:rPr>
          <w:rFonts w:ascii="inherit" w:hAnsi="inherit" w:hint="eastAsia"/>
        </w:rPr>
      </w:pPr>
      <w:r>
        <w:rPr>
          <w:rFonts w:ascii="inherit" w:hAnsi="inherit"/>
        </w:rPr>
        <w:t>Hetzelfde geldt voor de combinatie a</w:t>
      </w:r>
      <w:r>
        <w:rPr>
          <w:rFonts w:ascii="inherit" w:hAnsi="inherit"/>
        </w:rPr>
        <w:t xml:space="preserve">cenocoumarol (,,bloedverdunner, gecontroleerd door de trombosedienst'') en </w:t>
      </w:r>
      <w:proofErr w:type="spellStart"/>
      <w:r>
        <w:rPr>
          <w:rFonts w:ascii="inherit" w:hAnsi="inherit"/>
        </w:rPr>
        <w:t>miconazol</w:t>
      </w:r>
      <w:proofErr w:type="spellEnd"/>
      <w:r>
        <w:rPr>
          <w:rFonts w:ascii="inherit" w:hAnsi="inherit"/>
        </w:rPr>
        <w:t xml:space="preserve"> (antibioticum tegen schimmels). Je mag best </w:t>
      </w:r>
      <w:proofErr w:type="spellStart"/>
      <w:r>
        <w:rPr>
          <w:rFonts w:ascii="inherit" w:hAnsi="inherit"/>
        </w:rPr>
        <w:t>miconazol</w:t>
      </w:r>
      <w:proofErr w:type="spellEnd"/>
      <w:r>
        <w:rPr>
          <w:rFonts w:ascii="inherit" w:hAnsi="inherit"/>
        </w:rPr>
        <w:t xml:space="preserve"> voorschrijven aan iemand die acenocoumarol gebruikt, mits de trombosedienst hierover wordt geïnformeerd, en dat is ie</w:t>
      </w:r>
      <w:r>
        <w:rPr>
          <w:rFonts w:ascii="inherit" w:hAnsi="inherit"/>
        </w:rPr>
        <w:t>ts wat patiënten naar onze ervaring doen, en waar de medewerksters van de trombosedienst routinematig naar vragen. Niets aan de hand dus.</w:t>
      </w:r>
    </w:p>
    <w:p w:rsidR="00BC5A44" w:rsidRDefault="009E65C3">
      <w:pPr>
        <w:pStyle w:val="Tekstblok"/>
        <w:widowControl/>
        <w:spacing w:before="270" w:after="270" w:line="375" w:lineRule="atLeast"/>
        <w:ind w:left="2520"/>
        <w:rPr>
          <w:rFonts w:ascii="inherit" w:hAnsi="inherit" w:hint="eastAsia"/>
        </w:rPr>
      </w:pPr>
      <w:r>
        <w:rPr>
          <w:rFonts w:ascii="inherit" w:hAnsi="inherit"/>
        </w:rPr>
        <w:t>Ten slotte, artsen, met name ziekenhuisartsen, dienen fouten te melden aan MIP-commissies. Elke fout, ook een vergeten</w:t>
      </w:r>
      <w:r>
        <w:rPr>
          <w:rFonts w:ascii="inherit" w:hAnsi="inherit"/>
        </w:rPr>
        <w:t xml:space="preserve"> vitamine C tabletje. Het is in dat licht merkwaardig dat in het rapport met geen woord wordt gerept over het opzetten van een meldingsregistratie voor complicaties die het gevolg zijn van afleveringsfouten en onvoldoende medicatiebegeleiding van apotheker</w:t>
      </w:r>
      <w:r>
        <w:rPr>
          <w:rFonts w:ascii="inherit" w:hAnsi="inherit"/>
        </w:rPr>
        <w:t>s. In de beleving van zowel artsen als patiënten is het zelfstandig veranderen van de voorgeschreven medicatie door de apotheek de grootste bron van medicatiefouten.</w:t>
      </w:r>
    </w:p>
    <w:p w:rsidR="00BC5A44" w:rsidRDefault="009E65C3">
      <w:pPr>
        <w:pStyle w:val="Tekstblok"/>
        <w:widowControl/>
        <w:spacing w:before="270" w:after="270" w:line="375" w:lineRule="atLeast"/>
        <w:ind w:left="2520"/>
        <w:rPr>
          <w:rFonts w:ascii="inherit" w:hAnsi="inherit" w:hint="eastAsia"/>
        </w:rPr>
      </w:pPr>
      <w:r>
        <w:rPr>
          <w:rFonts w:ascii="inherit" w:hAnsi="inherit"/>
        </w:rPr>
        <w:t>Ton Hooghoudt en Evert Lamfers zijn cardioloog in Nijmegen.</w:t>
      </w:r>
    </w:p>
    <w:p w:rsidR="00BC5A44" w:rsidRDefault="00BC5A44">
      <w:pPr>
        <w:rPr>
          <w:rFonts w:hint="eastAsia"/>
        </w:rPr>
      </w:pPr>
    </w:p>
    <w:sectPr w:rsidR="00BC5A44">
      <w:type w:val="continuous"/>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uardian Egyptian Web;Lucida Br">
    <w:altName w:val="Times New Roman"/>
    <w:panose1 w:val="00000000000000000000"/>
    <w:charset w:val="00"/>
    <w:family w:val="roman"/>
    <w:notTrueType/>
    <w:pitch w:val="default"/>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F21"/>
    <w:multiLevelType w:val="multilevel"/>
    <w:tmpl w:val="61F460DA"/>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69C33B02"/>
    <w:multiLevelType w:val="multilevel"/>
    <w:tmpl w:val="118EDDD0"/>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44"/>
    <w:rsid w:val="009E65C3"/>
    <w:rsid w:val="00BC5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 w:type="paragraph" w:styleId="Ballontekst">
    <w:name w:val="Balloon Text"/>
    <w:basedOn w:val="Standaard"/>
    <w:link w:val="BallontekstChar"/>
    <w:uiPriority w:val="99"/>
    <w:semiHidden/>
    <w:unhideWhenUsed/>
    <w:rsid w:val="009E65C3"/>
    <w:rPr>
      <w:rFonts w:ascii="Tahoma" w:hAnsi="Tahoma" w:cs="Mangal"/>
      <w:sz w:val="16"/>
      <w:szCs w:val="14"/>
    </w:rPr>
  </w:style>
  <w:style w:type="character" w:customStyle="1" w:styleId="BallontekstChar">
    <w:name w:val="Ballontekst Char"/>
    <w:basedOn w:val="Standaardalinea-lettertype"/>
    <w:link w:val="Ballontekst"/>
    <w:uiPriority w:val="99"/>
    <w:semiHidden/>
    <w:rsid w:val="009E65C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 w:type="paragraph" w:styleId="Ballontekst">
    <w:name w:val="Balloon Text"/>
    <w:basedOn w:val="Standaard"/>
    <w:link w:val="BallontekstChar"/>
    <w:uiPriority w:val="99"/>
    <w:semiHidden/>
    <w:unhideWhenUsed/>
    <w:rsid w:val="009E65C3"/>
    <w:rPr>
      <w:rFonts w:ascii="Tahoma" w:hAnsi="Tahoma" w:cs="Mangal"/>
      <w:sz w:val="16"/>
      <w:szCs w:val="14"/>
    </w:rPr>
  </w:style>
  <w:style w:type="character" w:customStyle="1" w:styleId="BallontekstChar">
    <w:name w:val="Ballontekst Char"/>
    <w:basedOn w:val="Standaardalinea-lettertype"/>
    <w:link w:val="Ballontekst"/>
    <w:uiPriority w:val="99"/>
    <w:semiHidden/>
    <w:rsid w:val="009E65C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76D6CADA</Template>
  <TotalTime>1</TotalTime>
  <Pages>3</Pages>
  <Words>734</Words>
  <Characters>4041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 Chentasingh</dc:creator>
  <cp:lastModifiedBy>Chentasingh,S.</cp:lastModifiedBy>
  <cp:revision>2</cp:revision>
  <cp:lastPrinted>2016-03-17T11:29:00Z</cp:lastPrinted>
  <dcterms:created xsi:type="dcterms:W3CDTF">2016-03-17T11:30:00Z</dcterms:created>
  <dcterms:modified xsi:type="dcterms:W3CDTF">2016-03-17T11:30:00Z</dcterms:modified>
  <dc:language>nl-NL</dc:language>
</cp:coreProperties>
</file>